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956" w:rsidRDefault="00027956" w:rsidP="000435E5">
      <w:pPr>
        <w:spacing w:line="270" w:lineRule="atLeast"/>
        <w:ind w:firstLine="540"/>
        <w:jc w:val="center"/>
        <w:rPr>
          <w:rStyle w:val="a3"/>
          <w:color w:val="353535"/>
          <w:sz w:val="28"/>
          <w:szCs w:val="28"/>
        </w:rPr>
      </w:pPr>
    </w:p>
    <w:p w:rsidR="00A31C71" w:rsidRPr="00611075" w:rsidRDefault="000702C9" w:rsidP="000702C9">
      <w:pPr>
        <w:spacing w:line="270" w:lineRule="atLeast"/>
        <w:rPr>
          <w:rStyle w:val="a3"/>
          <w:color w:val="000000"/>
          <w:sz w:val="28"/>
          <w:szCs w:val="28"/>
        </w:rPr>
      </w:pPr>
      <w:r>
        <w:rPr>
          <w:rStyle w:val="a3"/>
          <w:color w:val="353535"/>
          <w:sz w:val="28"/>
          <w:szCs w:val="28"/>
        </w:rPr>
        <w:t xml:space="preserve">         </w:t>
      </w:r>
      <w:r w:rsidR="00A31C71" w:rsidRPr="00611075">
        <w:rPr>
          <w:rStyle w:val="a3"/>
          <w:color w:val="000000"/>
          <w:sz w:val="28"/>
          <w:szCs w:val="28"/>
        </w:rPr>
        <w:t>Обмеження щодо застосування праці неповнолітніх</w:t>
      </w:r>
    </w:p>
    <w:p w:rsidR="00910DB4" w:rsidRPr="00611075" w:rsidRDefault="00910DB4" w:rsidP="000435E5">
      <w:pPr>
        <w:spacing w:line="270" w:lineRule="atLeast"/>
        <w:ind w:firstLine="540"/>
        <w:jc w:val="center"/>
        <w:rPr>
          <w:color w:val="000000"/>
          <w:sz w:val="28"/>
          <w:szCs w:val="28"/>
        </w:rPr>
      </w:pPr>
    </w:p>
    <w:p w:rsidR="00910DB4" w:rsidRPr="00910DB4" w:rsidRDefault="00A31C71" w:rsidP="000435E5">
      <w:pPr>
        <w:pStyle w:val="substtext"/>
        <w:spacing w:before="0" w:beforeAutospacing="0" w:after="0" w:afterAutospacing="0"/>
        <w:ind w:firstLine="540"/>
        <w:jc w:val="both"/>
        <w:rPr>
          <w:color w:val="000000"/>
          <w:sz w:val="28"/>
          <w:szCs w:val="28"/>
        </w:rPr>
      </w:pPr>
      <w:r w:rsidRPr="00910DB4">
        <w:rPr>
          <w:color w:val="000000"/>
          <w:sz w:val="28"/>
          <w:szCs w:val="28"/>
        </w:rPr>
        <w:t>У трудовому законодавстві в інтересах охорони здоров’я підлітків існують певні обмеження, що стосуються усіх працівників, молодших вісімнадцяти років. Зокрема, у статті 190 КЗпП встановлено заборону на застосування праці неповнолітніх на важких роботах і на роботах зі шкідливими або небезпечними умовами праці, а також на підземних роботах (Перелік важких робіт і робіт із шкідливими і небезпечними умовами праці, на яких забороняється застосування праці неповнолітніх, затверджений наказом Міністерства охорони здоров’я України від 31 березня 1994 р. № 46).</w:t>
      </w:r>
    </w:p>
    <w:p w:rsidR="00910DB4" w:rsidRPr="00910DB4" w:rsidRDefault="00A31C71" w:rsidP="000435E5">
      <w:pPr>
        <w:ind w:firstLine="540"/>
        <w:jc w:val="both"/>
        <w:rPr>
          <w:color w:val="000000"/>
          <w:sz w:val="28"/>
          <w:szCs w:val="28"/>
        </w:rPr>
      </w:pPr>
      <w:r w:rsidRPr="00910DB4">
        <w:rPr>
          <w:color w:val="000000"/>
          <w:sz w:val="28"/>
          <w:szCs w:val="28"/>
        </w:rPr>
        <w:t>Крім того, поряд з цим документом слід використовувати Національний класифікатор України ДК 003:2010 «Класифікатор професій» (</w:t>
      </w:r>
      <w:r w:rsidRPr="00910DB4">
        <w:rPr>
          <w:rStyle w:val="a4"/>
          <w:color w:val="000000"/>
          <w:sz w:val="28"/>
          <w:szCs w:val="28"/>
        </w:rPr>
        <w:t>далі</w:t>
      </w:r>
      <w:r w:rsidRPr="00910DB4">
        <w:rPr>
          <w:rStyle w:val="apple-converted-space"/>
          <w:color w:val="000000"/>
          <w:sz w:val="28"/>
          <w:szCs w:val="28"/>
        </w:rPr>
        <w:t> </w:t>
      </w:r>
      <w:r w:rsidRPr="00910DB4">
        <w:rPr>
          <w:color w:val="000000"/>
          <w:sz w:val="28"/>
          <w:szCs w:val="28"/>
        </w:rPr>
        <w:t>— КП) та галузеві випуски Довідника кваліфікаційних характеристик професій працівників (</w:t>
      </w:r>
      <w:r w:rsidRPr="00910DB4">
        <w:rPr>
          <w:rStyle w:val="a4"/>
          <w:color w:val="000000"/>
          <w:sz w:val="28"/>
          <w:szCs w:val="28"/>
        </w:rPr>
        <w:t>далі</w:t>
      </w:r>
      <w:r w:rsidRPr="00910DB4">
        <w:rPr>
          <w:rStyle w:val="apple-converted-space"/>
          <w:color w:val="000000"/>
          <w:sz w:val="28"/>
          <w:szCs w:val="28"/>
        </w:rPr>
        <w:t> </w:t>
      </w:r>
      <w:r w:rsidRPr="00910DB4">
        <w:rPr>
          <w:color w:val="000000"/>
          <w:sz w:val="28"/>
          <w:szCs w:val="28"/>
        </w:rPr>
        <w:t>— ДКХП) в частині застосування професійних назв робіт і відповідних видів робіт.</w:t>
      </w:r>
    </w:p>
    <w:p w:rsidR="00910DB4" w:rsidRPr="00910DB4" w:rsidRDefault="00A31C71" w:rsidP="00FC7335">
      <w:pPr>
        <w:ind w:firstLine="540"/>
        <w:jc w:val="both"/>
        <w:rPr>
          <w:color w:val="000000"/>
          <w:sz w:val="28"/>
          <w:szCs w:val="28"/>
        </w:rPr>
      </w:pPr>
      <w:r w:rsidRPr="00FC7335">
        <w:rPr>
          <w:sz w:val="28"/>
          <w:szCs w:val="28"/>
        </w:rPr>
        <w:t>Отже, зазначений вище Перелік вміщує як види робіт, так і конкретні назви професій, які не можуть застосовуватися до неповнолітніх. Щодо видів робіт, то узагальнено їх представлено у кількості 37 угруповань, які, у свою чергу, налічують певну кількість підвидів робіт і професій. Зокрема, забороняється використання праці неповнолітніх на таких загальних видах робіт як:</w:t>
      </w:r>
      <w:r w:rsidR="00FC7335" w:rsidRPr="00FC7335">
        <w:rPr>
          <w:sz w:val="28"/>
          <w:szCs w:val="28"/>
        </w:rPr>
        <w:t xml:space="preserve"> </w:t>
      </w:r>
      <w:r w:rsidRPr="00FC7335">
        <w:rPr>
          <w:sz w:val="28"/>
          <w:szCs w:val="28"/>
        </w:rPr>
        <w:t>- гірничі роботи, будівництво метрополітенів, тунелів і підземних споруд спеціального призначення;</w:t>
      </w:r>
      <w:r w:rsidRPr="00444BB2">
        <w:rPr>
          <w:color w:val="353535"/>
          <w:sz w:val="28"/>
          <w:szCs w:val="28"/>
        </w:rPr>
        <w:t xml:space="preserve"> </w:t>
      </w:r>
      <w:r w:rsidRPr="00910DB4">
        <w:rPr>
          <w:color w:val="000000"/>
          <w:sz w:val="28"/>
          <w:szCs w:val="28"/>
        </w:rPr>
        <w:t>металургійні виробництва; хімічні виробництва; виробництво і передача електроенергії та теплоенергії (енергетичне господарство); промисловість будівельних матеріалів; нафтохімічні виробництва; будівельні, монтажні та ремонтно-будівельні роботи; деревообробні виробництва; текстильна промисловість; електротехнічна промисловість; виробництво медикаментів, медичних, бактерійних і біологічних препаратів та матеріалів;</w:t>
      </w:r>
      <w:r w:rsidR="00FC7335" w:rsidRPr="00910DB4">
        <w:rPr>
          <w:color w:val="000000"/>
          <w:sz w:val="28"/>
          <w:szCs w:val="28"/>
        </w:rPr>
        <w:t xml:space="preserve"> </w:t>
      </w:r>
      <w:r w:rsidRPr="00910DB4">
        <w:rPr>
          <w:color w:val="000000"/>
          <w:sz w:val="28"/>
          <w:szCs w:val="28"/>
        </w:rPr>
        <w:t>транспорт.</w:t>
      </w:r>
    </w:p>
    <w:p w:rsidR="00910DB4" w:rsidRDefault="00A632BE" w:rsidP="00A632BE">
      <w:pPr>
        <w:pStyle w:val="a5"/>
        <w:spacing w:before="0" w:beforeAutospacing="0" w:after="192" w:afterAutospacing="0"/>
        <w:ind w:firstLine="540"/>
        <w:jc w:val="both"/>
        <w:rPr>
          <w:color w:val="000000"/>
          <w:sz w:val="28"/>
          <w:szCs w:val="28"/>
        </w:rPr>
      </w:pPr>
      <w:r w:rsidRPr="00910DB4">
        <w:rPr>
          <w:color w:val="000000"/>
          <w:sz w:val="28"/>
          <w:szCs w:val="28"/>
        </w:rPr>
        <w:t>За к</w:t>
      </w:r>
      <w:r w:rsidR="00A31C71" w:rsidRPr="00910DB4">
        <w:rPr>
          <w:color w:val="000000"/>
          <w:sz w:val="28"/>
          <w:szCs w:val="28"/>
        </w:rPr>
        <w:t xml:space="preserve">ожним із зазначених вище узагальнених угруповань передбачається конкретний перелік професій і робіт. Помилковою є думка, що забороняються всі без виключення професії та роботи за відповідними угрупованнями. Крім того, за деякими професіями та роботами можна залучати до праці осіб з 17 років. </w:t>
      </w:r>
    </w:p>
    <w:p w:rsidR="00A31C71" w:rsidRPr="00910DB4" w:rsidRDefault="00A31C71" w:rsidP="00A632BE">
      <w:pPr>
        <w:pStyle w:val="a5"/>
        <w:spacing w:before="0" w:beforeAutospacing="0" w:after="192" w:afterAutospacing="0"/>
        <w:ind w:firstLine="540"/>
        <w:jc w:val="both"/>
        <w:rPr>
          <w:color w:val="000000"/>
          <w:sz w:val="28"/>
          <w:szCs w:val="28"/>
        </w:rPr>
      </w:pPr>
      <w:r w:rsidRPr="00910DB4">
        <w:rPr>
          <w:color w:val="000000"/>
          <w:sz w:val="28"/>
          <w:szCs w:val="28"/>
        </w:rPr>
        <w:t>Зверніть увагу на те, що деякі професійні назви робіт, що містяться у зазначеному вище Переліку важких робіт і робіт із шкідливими і небезпечними умовами праці, на яких забороняється застосування праці неповнолітніх, затвердженому наказом Міністерства охорони здоров'я України від 31 березня 1994 р. № 46, на сьогодні не відповідають чинним професійним назвам робіт, які знаходяться в КП, через те, що останню редакцію згаданого наказу датовано 1994 р., тобто на час чинності попередника КП, в якому містилися наведені в Переліку професії. Але на сьогодні чинним є КП, у якому зазначені в Переліку професії викладені в іншій редакції.</w:t>
      </w:r>
    </w:p>
    <w:p w:rsidR="00A31C71" w:rsidRPr="00910DB4" w:rsidRDefault="00A31C71" w:rsidP="00A632BE">
      <w:pPr>
        <w:pStyle w:val="a5"/>
        <w:spacing w:before="0" w:beforeAutospacing="0" w:after="0" w:afterAutospacing="0"/>
        <w:ind w:firstLine="540"/>
        <w:jc w:val="both"/>
        <w:rPr>
          <w:color w:val="000000"/>
          <w:sz w:val="28"/>
          <w:szCs w:val="28"/>
        </w:rPr>
      </w:pPr>
      <w:r w:rsidRPr="00910DB4">
        <w:rPr>
          <w:color w:val="000000"/>
          <w:sz w:val="28"/>
          <w:szCs w:val="28"/>
        </w:rPr>
        <w:t xml:space="preserve">Також відповідно до наказу Міністерства охорони здоров’я України «Про затвердження граничних норм підіймання під час використання праці неповнолітніх на роботах, виконання яких потребує фізичної сили, слід </w:t>
      </w:r>
      <w:r w:rsidRPr="00910DB4">
        <w:rPr>
          <w:color w:val="000000"/>
          <w:sz w:val="28"/>
          <w:szCs w:val="28"/>
        </w:rPr>
        <w:lastRenderedPageBreak/>
        <w:t>пам’ятати, що д</w:t>
      </w:r>
      <w:r w:rsidRPr="00910DB4">
        <w:rPr>
          <w:rStyle w:val="apple-converted-space"/>
          <w:color w:val="000000"/>
          <w:sz w:val="28"/>
          <w:szCs w:val="28"/>
        </w:rPr>
        <w:t> </w:t>
      </w:r>
      <w:r w:rsidRPr="00910DB4">
        <w:rPr>
          <w:color w:val="000000"/>
          <w:sz w:val="28"/>
          <w:szCs w:val="28"/>
        </w:rPr>
        <w:t>переміщення важких речей неповнолітніми» від 22 березня 1996 року № 59</w:t>
      </w:r>
      <w:r w:rsidRPr="00910DB4">
        <w:rPr>
          <w:rStyle w:val="apple-converted-space"/>
          <w:color w:val="000000"/>
          <w:sz w:val="28"/>
          <w:szCs w:val="28"/>
        </w:rPr>
        <w:t> </w:t>
      </w:r>
      <w:r w:rsidRPr="00910DB4">
        <w:rPr>
          <w:color w:val="000000"/>
          <w:sz w:val="28"/>
          <w:szCs w:val="28"/>
        </w:rPr>
        <w:t>о роботи, яка потребує підіймання та переміщення важких речей, допускаються лише ті підлітки, які не мають медичних протипоказань, що засвідчено відповідним лікарським свідоцтвом. До тривалої роботи по підійманню та переміщенню важких речей підлітки до п’ятнадцяти років не допускаються. Підлітків забороняється призначати на роботи, які пов’язані виключно з підійманням, утриманням або переміщенням важких речей. Граничні норми підіймання і переміщення важких речей неповнолітніми діють на всій території України і поширюються на всі підприємства, установи, організації, учбові заклади, а також на юридичних та фізичних осіб, які використовують працю підлітків від 14 до 18 років. Роботодавець повинен забезпечити обов’язкове проходження працюючими у нього підлітками попереднього та наступних періодичних медичних оглядів. Робота підлітків з вантажами не повинна становити більше 1/3 робочого часу. Загальна тривалість робочого часу підлітків не повинна перевищувати 24 години на тиждень для підлітків 14–15 років та 36 годин — для підлітків 16–17 років. Обов’язковим повинен бути рівномірний розподіл тижневого робочого часу за днями п’яти- або шестиденного робочого тижня. Вага окремого вантажу та сумарна вага вантажу, який повинні підіймати та переміщувати підлітки, не повинна перевищувати граничних норм, зазначених у таблицях 1 і 2.</w:t>
      </w:r>
    </w:p>
    <w:p w:rsidR="00A31C71" w:rsidRPr="00910DB4" w:rsidRDefault="00A31C71" w:rsidP="000435E5">
      <w:pPr>
        <w:ind w:firstLine="540"/>
        <w:jc w:val="right"/>
        <w:rPr>
          <w:color w:val="000000"/>
          <w:sz w:val="28"/>
          <w:szCs w:val="28"/>
        </w:rPr>
      </w:pPr>
      <w:r w:rsidRPr="00910DB4">
        <w:rPr>
          <w:rStyle w:val="a4"/>
          <w:color w:val="000000"/>
          <w:sz w:val="28"/>
          <w:szCs w:val="28"/>
        </w:rPr>
        <w:t>Таблиця 1</w:t>
      </w:r>
    </w:p>
    <w:p w:rsidR="00A31C71" w:rsidRPr="00910DB4" w:rsidRDefault="00A31C71" w:rsidP="000435E5">
      <w:pPr>
        <w:ind w:firstLine="540"/>
        <w:jc w:val="center"/>
        <w:rPr>
          <w:color w:val="000000"/>
          <w:sz w:val="28"/>
          <w:szCs w:val="28"/>
        </w:rPr>
      </w:pPr>
      <w:r w:rsidRPr="00910DB4">
        <w:rPr>
          <w:rStyle w:val="a3"/>
          <w:color w:val="000000"/>
          <w:sz w:val="28"/>
          <w:szCs w:val="28"/>
        </w:rPr>
        <w:t>Граничні норми підіймання та переміщення вантажів підлітками під час короткочасної та тривалої роботи</w:t>
      </w:r>
    </w:p>
    <w:tbl>
      <w:tblPr>
        <w:tblW w:w="0" w:type="auto"/>
        <w:tblCellMar>
          <w:left w:w="0" w:type="dxa"/>
          <w:right w:w="0" w:type="dxa"/>
        </w:tblCellMar>
        <w:tblLook w:val="0000" w:firstRow="0" w:lastRow="0" w:firstColumn="0" w:lastColumn="0" w:noHBand="0" w:noVBand="0"/>
      </w:tblPr>
      <w:tblGrid>
        <w:gridCol w:w="2339"/>
        <w:gridCol w:w="1802"/>
        <w:gridCol w:w="1838"/>
        <w:gridCol w:w="1802"/>
        <w:gridCol w:w="1838"/>
      </w:tblGrid>
      <w:tr w:rsidR="00A31C71" w:rsidRPr="00910DB4">
        <w:tc>
          <w:tcPr>
            <w:tcW w:w="19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31C71" w:rsidRPr="00910DB4" w:rsidRDefault="00A31C71" w:rsidP="000435E5">
            <w:pPr>
              <w:ind w:firstLine="540"/>
              <w:jc w:val="center"/>
              <w:rPr>
                <w:color w:val="000000"/>
                <w:sz w:val="28"/>
                <w:szCs w:val="28"/>
              </w:rPr>
            </w:pPr>
            <w:r w:rsidRPr="00910DB4">
              <w:rPr>
                <w:color w:val="000000"/>
                <w:sz w:val="28"/>
                <w:szCs w:val="28"/>
              </w:rPr>
              <w:t>Календарний вік, років</w:t>
            </w:r>
          </w:p>
        </w:tc>
        <w:tc>
          <w:tcPr>
            <w:tcW w:w="788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jc w:val="center"/>
              <w:rPr>
                <w:color w:val="000000"/>
                <w:sz w:val="28"/>
                <w:szCs w:val="28"/>
              </w:rPr>
            </w:pPr>
            <w:r w:rsidRPr="00910DB4">
              <w:rPr>
                <w:color w:val="000000"/>
                <w:sz w:val="28"/>
                <w:szCs w:val="28"/>
              </w:rPr>
              <w:t>Граничні норми ваги вантажу (кг)</w:t>
            </w:r>
          </w:p>
        </w:tc>
      </w:tr>
      <w:tr w:rsidR="00A31C71" w:rsidRPr="00910DB4">
        <w:tc>
          <w:tcPr>
            <w:tcW w:w="0" w:type="auto"/>
            <w:vMerge/>
            <w:tcBorders>
              <w:top w:val="single" w:sz="8" w:space="0" w:color="auto"/>
              <w:left w:val="single" w:sz="8" w:space="0" w:color="auto"/>
              <w:bottom w:val="single" w:sz="8" w:space="0" w:color="auto"/>
              <w:right w:val="single" w:sz="8" w:space="0" w:color="auto"/>
            </w:tcBorders>
            <w:vAlign w:val="center"/>
          </w:tcPr>
          <w:p w:rsidR="00A31C71" w:rsidRPr="00910DB4" w:rsidRDefault="00A31C71" w:rsidP="000435E5">
            <w:pPr>
              <w:ind w:firstLine="540"/>
              <w:rPr>
                <w:color w:val="000000"/>
                <w:sz w:val="28"/>
                <w:szCs w:val="28"/>
              </w:rPr>
            </w:pPr>
          </w:p>
        </w:tc>
        <w:tc>
          <w:tcPr>
            <w:tcW w:w="3942" w:type="dxa"/>
            <w:gridSpan w:val="2"/>
            <w:tcBorders>
              <w:top w:val="nil"/>
              <w:left w:val="nil"/>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jc w:val="center"/>
              <w:rPr>
                <w:color w:val="000000"/>
                <w:sz w:val="28"/>
                <w:szCs w:val="28"/>
              </w:rPr>
            </w:pPr>
            <w:r w:rsidRPr="00910DB4">
              <w:rPr>
                <w:color w:val="000000"/>
                <w:sz w:val="28"/>
                <w:szCs w:val="28"/>
              </w:rPr>
              <w:t>Короткочасна робота</w:t>
            </w:r>
          </w:p>
        </w:tc>
        <w:tc>
          <w:tcPr>
            <w:tcW w:w="3942" w:type="dxa"/>
            <w:gridSpan w:val="2"/>
            <w:tcBorders>
              <w:top w:val="nil"/>
              <w:left w:val="nil"/>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jc w:val="center"/>
              <w:rPr>
                <w:color w:val="000000"/>
                <w:sz w:val="28"/>
                <w:szCs w:val="28"/>
              </w:rPr>
            </w:pPr>
            <w:r w:rsidRPr="00910DB4">
              <w:rPr>
                <w:color w:val="000000"/>
                <w:sz w:val="28"/>
                <w:szCs w:val="28"/>
              </w:rPr>
              <w:t>Тривала робота</w:t>
            </w:r>
          </w:p>
        </w:tc>
      </w:tr>
      <w:tr w:rsidR="00A31C71" w:rsidRPr="00910DB4">
        <w:tc>
          <w:tcPr>
            <w:tcW w:w="0" w:type="auto"/>
            <w:vMerge/>
            <w:tcBorders>
              <w:top w:val="single" w:sz="8" w:space="0" w:color="auto"/>
              <w:left w:val="single" w:sz="8" w:space="0" w:color="auto"/>
              <w:bottom w:val="single" w:sz="8" w:space="0" w:color="auto"/>
              <w:right w:val="single" w:sz="8" w:space="0" w:color="auto"/>
            </w:tcBorders>
            <w:vAlign w:val="center"/>
          </w:tcPr>
          <w:p w:rsidR="00A31C71" w:rsidRPr="00910DB4" w:rsidRDefault="00A31C71" w:rsidP="000435E5">
            <w:pPr>
              <w:ind w:firstLine="540"/>
              <w:rPr>
                <w:color w:val="000000"/>
                <w:sz w:val="28"/>
                <w:szCs w:val="28"/>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tcPr>
          <w:p w:rsidR="00A31C71" w:rsidRPr="00910DB4" w:rsidRDefault="00A31C71" w:rsidP="000435E5">
            <w:pPr>
              <w:ind w:firstLine="540"/>
              <w:jc w:val="center"/>
              <w:rPr>
                <w:color w:val="000000"/>
                <w:sz w:val="28"/>
                <w:szCs w:val="28"/>
              </w:rPr>
            </w:pPr>
            <w:r w:rsidRPr="00910DB4">
              <w:rPr>
                <w:color w:val="000000"/>
                <w:sz w:val="28"/>
                <w:szCs w:val="28"/>
              </w:rPr>
              <w:t>юнаки</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tcPr>
          <w:p w:rsidR="00A31C71" w:rsidRPr="00910DB4" w:rsidRDefault="00A31C71" w:rsidP="000435E5">
            <w:pPr>
              <w:ind w:firstLine="540"/>
              <w:jc w:val="center"/>
              <w:rPr>
                <w:color w:val="000000"/>
                <w:sz w:val="28"/>
                <w:szCs w:val="28"/>
              </w:rPr>
            </w:pPr>
            <w:r w:rsidRPr="00910DB4">
              <w:rPr>
                <w:color w:val="000000"/>
                <w:sz w:val="28"/>
                <w:szCs w:val="28"/>
              </w:rPr>
              <w:t>дівчата</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tcPr>
          <w:p w:rsidR="00A31C71" w:rsidRPr="00910DB4" w:rsidRDefault="00A31C71" w:rsidP="000435E5">
            <w:pPr>
              <w:ind w:firstLine="540"/>
              <w:jc w:val="center"/>
              <w:rPr>
                <w:color w:val="000000"/>
                <w:sz w:val="28"/>
                <w:szCs w:val="28"/>
              </w:rPr>
            </w:pPr>
            <w:r w:rsidRPr="00910DB4">
              <w:rPr>
                <w:color w:val="000000"/>
                <w:sz w:val="28"/>
                <w:szCs w:val="28"/>
              </w:rPr>
              <w:t>юнаки</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tcPr>
          <w:p w:rsidR="00A31C71" w:rsidRPr="00910DB4" w:rsidRDefault="00A31C71" w:rsidP="000435E5">
            <w:pPr>
              <w:ind w:firstLine="540"/>
              <w:jc w:val="center"/>
              <w:rPr>
                <w:color w:val="000000"/>
                <w:sz w:val="28"/>
                <w:szCs w:val="28"/>
              </w:rPr>
            </w:pPr>
            <w:r w:rsidRPr="00910DB4">
              <w:rPr>
                <w:color w:val="000000"/>
                <w:sz w:val="28"/>
                <w:szCs w:val="28"/>
              </w:rPr>
              <w:t>дівчата</w:t>
            </w:r>
          </w:p>
        </w:tc>
      </w:tr>
      <w:tr w:rsidR="00A31C71" w:rsidRPr="00910DB4">
        <w:tc>
          <w:tcPr>
            <w:tcW w:w="19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rPr>
                <w:color w:val="000000"/>
                <w:sz w:val="28"/>
                <w:szCs w:val="28"/>
              </w:rPr>
            </w:pPr>
            <w:r w:rsidRPr="00910DB4">
              <w:rPr>
                <w:color w:val="000000"/>
                <w:sz w:val="28"/>
                <w:szCs w:val="28"/>
              </w:rPr>
              <w:t>14</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rPr>
                <w:color w:val="000000"/>
                <w:sz w:val="28"/>
                <w:szCs w:val="28"/>
              </w:rPr>
            </w:pPr>
            <w:r w:rsidRPr="00910DB4">
              <w:rPr>
                <w:color w:val="000000"/>
                <w:sz w:val="28"/>
                <w:szCs w:val="28"/>
              </w:rPr>
              <w:t>5</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rPr>
                <w:color w:val="000000"/>
                <w:sz w:val="28"/>
                <w:szCs w:val="28"/>
              </w:rPr>
            </w:pPr>
            <w:r w:rsidRPr="00910DB4">
              <w:rPr>
                <w:color w:val="000000"/>
                <w:sz w:val="28"/>
                <w:szCs w:val="28"/>
              </w:rPr>
              <w:t>2,5</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jc w:val="center"/>
              <w:rPr>
                <w:color w:val="000000"/>
                <w:sz w:val="28"/>
                <w:szCs w:val="28"/>
              </w:rPr>
            </w:pPr>
            <w:r w:rsidRPr="00910DB4">
              <w:rPr>
                <w:color w:val="000000"/>
                <w:sz w:val="28"/>
                <w:szCs w:val="28"/>
              </w:rPr>
              <w:t>-</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jc w:val="center"/>
              <w:rPr>
                <w:color w:val="000000"/>
                <w:sz w:val="28"/>
                <w:szCs w:val="28"/>
              </w:rPr>
            </w:pPr>
            <w:r w:rsidRPr="00910DB4">
              <w:rPr>
                <w:color w:val="000000"/>
                <w:sz w:val="28"/>
                <w:szCs w:val="28"/>
              </w:rPr>
              <w:t>-</w:t>
            </w:r>
          </w:p>
        </w:tc>
      </w:tr>
      <w:tr w:rsidR="00A31C71" w:rsidRPr="00910DB4">
        <w:tc>
          <w:tcPr>
            <w:tcW w:w="19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rPr>
                <w:color w:val="000000"/>
                <w:sz w:val="28"/>
                <w:szCs w:val="28"/>
              </w:rPr>
            </w:pPr>
            <w:r w:rsidRPr="00910DB4">
              <w:rPr>
                <w:color w:val="000000"/>
                <w:sz w:val="28"/>
                <w:szCs w:val="28"/>
              </w:rPr>
              <w:t>15</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rPr>
                <w:color w:val="000000"/>
                <w:sz w:val="28"/>
                <w:szCs w:val="28"/>
              </w:rPr>
            </w:pPr>
            <w:r w:rsidRPr="00910DB4">
              <w:rPr>
                <w:color w:val="000000"/>
                <w:sz w:val="28"/>
                <w:szCs w:val="28"/>
              </w:rPr>
              <w:t>12</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rPr>
                <w:color w:val="000000"/>
                <w:sz w:val="28"/>
                <w:szCs w:val="28"/>
              </w:rPr>
            </w:pPr>
            <w:r w:rsidRPr="00910DB4">
              <w:rPr>
                <w:color w:val="000000"/>
                <w:sz w:val="28"/>
                <w:szCs w:val="28"/>
              </w:rPr>
              <w:t>6</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rPr>
                <w:color w:val="000000"/>
                <w:sz w:val="28"/>
                <w:szCs w:val="28"/>
              </w:rPr>
            </w:pPr>
            <w:r w:rsidRPr="00910DB4">
              <w:rPr>
                <w:color w:val="000000"/>
                <w:sz w:val="28"/>
                <w:szCs w:val="28"/>
              </w:rPr>
              <w:t>8,4</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rPr>
                <w:color w:val="000000"/>
                <w:sz w:val="28"/>
                <w:szCs w:val="28"/>
              </w:rPr>
            </w:pPr>
            <w:r w:rsidRPr="00910DB4">
              <w:rPr>
                <w:color w:val="000000"/>
                <w:sz w:val="28"/>
                <w:szCs w:val="28"/>
              </w:rPr>
              <w:t>4,2</w:t>
            </w:r>
          </w:p>
        </w:tc>
      </w:tr>
      <w:tr w:rsidR="00A31C71" w:rsidRPr="00910DB4">
        <w:tc>
          <w:tcPr>
            <w:tcW w:w="19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rPr>
                <w:color w:val="000000"/>
                <w:sz w:val="28"/>
                <w:szCs w:val="28"/>
              </w:rPr>
            </w:pPr>
            <w:r w:rsidRPr="00910DB4">
              <w:rPr>
                <w:color w:val="000000"/>
                <w:sz w:val="28"/>
                <w:szCs w:val="28"/>
              </w:rPr>
              <w:t>16</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rPr>
                <w:color w:val="000000"/>
                <w:sz w:val="28"/>
                <w:szCs w:val="28"/>
              </w:rPr>
            </w:pPr>
            <w:r w:rsidRPr="00910DB4">
              <w:rPr>
                <w:color w:val="000000"/>
                <w:sz w:val="28"/>
                <w:szCs w:val="28"/>
              </w:rPr>
              <w:t>14</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rPr>
                <w:color w:val="000000"/>
                <w:sz w:val="28"/>
                <w:szCs w:val="28"/>
              </w:rPr>
            </w:pPr>
            <w:r w:rsidRPr="00910DB4">
              <w:rPr>
                <w:color w:val="000000"/>
                <w:sz w:val="28"/>
                <w:szCs w:val="28"/>
              </w:rPr>
              <w:t>7</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rPr>
                <w:color w:val="000000"/>
                <w:sz w:val="28"/>
                <w:szCs w:val="28"/>
              </w:rPr>
            </w:pPr>
            <w:r w:rsidRPr="00910DB4">
              <w:rPr>
                <w:color w:val="000000"/>
                <w:sz w:val="28"/>
                <w:szCs w:val="28"/>
              </w:rPr>
              <w:t>11,2</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rPr>
                <w:color w:val="000000"/>
                <w:sz w:val="28"/>
                <w:szCs w:val="28"/>
              </w:rPr>
            </w:pPr>
            <w:r w:rsidRPr="00910DB4">
              <w:rPr>
                <w:color w:val="000000"/>
                <w:sz w:val="28"/>
                <w:szCs w:val="28"/>
              </w:rPr>
              <w:t>5,6</w:t>
            </w:r>
          </w:p>
        </w:tc>
      </w:tr>
      <w:tr w:rsidR="00A31C71" w:rsidRPr="00910DB4">
        <w:tc>
          <w:tcPr>
            <w:tcW w:w="19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rPr>
                <w:color w:val="000000"/>
                <w:sz w:val="28"/>
                <w:szCs w:val="28"/>
              </w:rPr>
            </w:pPr>
            <w:r w:rsidRPr="00910DB4">
              <w:rPr>
                <w:color w:val="000000"/>
                <w:sz w:val="28"/>
                <w:szCs w:val="28"/>
              </w:rPr>
              <w:t>17</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rPr>
                <w:color w:val="000000"/>
                <w:sz w:val="28"/>
                <w:szCs w:val="28"/>
              </w:rPr>
            </w:pPr>
            <w:r w:rsidRPr="00910DB4">
              <w:rPr>
                <w:color w:val="000000"/>
                <w:sz w:val="28"/>
                <w:szCs w:val="28"/>
              </w:rPr>
              <w:t>16</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rPr>
                <w:color w:val="000000"/>
                <w:sz w:val="28"/>
                <w:szCs w:val="28"/>
              </w:rPr>
            </w:pPr>
            <w:r w:rsidRPr="00910DB4">
              <w:rPr>
                <w:color w:val="000000"/>
                <w:sz w:val="28"/>
                <w:szCs w:val="28"/>
              </w:rPr>
              <w:t>8</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rPr>
                <w:color w:val="000000"/>
                <w:sz w:val="28"/>
                <w:szCs w:val="28"/>
              </w:rPr>
            </w:pPr>
            <w:r w:rsidRPr="00910DB4">
              <w:rPr>
                <w:color w:val="000000"/>
                <w:sz w:val="28"/>
                <w:szCs w:val="28"/>
              </w:rPr>
              <w:t>12,6</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910DB4" w:rsidRDefault="00A31C71" w:rsidP="000435E5">
            <w:pPr>
              <w:ind w:firstLine="540"/>
              <w:rPr>
                <w:color w:val="000000"/>
                <w:sz w:val="28"/>
                <w:szCs w:val="28"/>
              </w:rPr>
            </w:pPr>
            <w:r w:rsidRPr="00910DB4">
              <w:rPr>
                <w:color w:val="000000"/>
                <w:sz w:val="28"/>
                <w:szCs w:val="28"/>
              </w:rPr>
              <w:t>6,3</w:t>
            </w:r>
          </w:p>
        </w:tc>
      </w:tr>
    </w:tbl>
    <w:p w:rsidR="00A31C71" w:rsidRPr="00910DB4" w:rsidRDefault="00A31C71" w:rsidP="000435E5">
      <w:pPr>
        <w:ind w:firstLine="540"/>
        <w:jc w:val="both"/>
        <w:rPr>
          <w:color w:val="000000"/>
          <w:sz w:val="28"/>
          <w:szCs w:val="28"/>
        </w:rPr>
      </w:pPr>
      <w:r w:rsidRPr="00910DB4">
        <w:rPr>
          <w:rStyle w:val="a3"/>
          <w:color w:val="000000"/>
          <w:sz w:val="28"/>
          <w:szCs w:val="28"/>
        </w:rPr>
        <w:t> </w:t>
      </w:r>
    </w:p>
    <w:p w:rsidR="00A31C71" w:rsidRPr="00910DB4" w:rsidRDefault="00A31C71" w:rsidP="000435E5">
      <w:pPr>
        <w:ind w:firstLine="540"/>
        <w:jc w:val="both"/>
        <w:rPr>
          <w:color w:val="000000"/>
          <w:sz w:val="28"/>
          <w:szCs w:val="28"/>
        </w:rPr>
      </w:pPr>
      <w:r w:rsidRPr="00910DB4">
        <w:rPr>
          <w:color w:val="000000"/>
          <w:sz w:val="28"/>
          <w:szCs w:val="28"/>
        </w:rPr>
        <w:t>Короткочасна робота — 1–2 підняття та переміщення вантажу; тривала — більше ніж 2 підняття та переміщення протягом 1 години робочого часу. Календарний вік визначається як число повних років, що відраховуються від дати народження. У вагу вантажу включається вага тари й упаковки. Докладене м’язове зусилля при утриманні або переміщенні вантажу з використанням засобів малої механізації не повинно перевищувати граничної норми ваги вантажу, його тривалість — не більше 3 хвилин, подальший відпочинок — не менше 2 хвилин.</w:t>
      </w:r>
    </w:p>
    <w:p w:rsidR="00910DB4" w:rsidRPr="00910DB4" w:rsidRDefault="00910DB4" w:rsidP="000435E5">
      <w:pPr>
        <w:ind w:firstLine="540"/>
        <w:jc w:val="right"/>
        <w:rPr>
          <w:rStyle w:val="a4"/>
          <w:color w:val="000000"/>
          <w:sz w:val="28"/>
          <w:szCs w:val="28"/>
        </w:rPr>
      </w:pPr>
    </w:p>
    <w:p w:rsidR="00FD4D8D" w:rsidRDefault="00FD4D8D" w:rsidP="00FD4D8D">
      <w:pPr>
        <w:ind w:firstLine="540"/>
        <w:jc w:val="right"/>
        <w:rPr>
          <w:rStyle w:val="a4"/>
          <w:color w:val="353535"/>
          <w:sz w:val="28"/>
          <w:szCs w:val="28"/>
        </w:rPr>
      </w:pPr>
      <w:r>
        <w:rPr>
          <w:rStyle w:val="a4"/>
          <w:color w:val="353535"/>
          <w:sz w:val="28"/>
          <w:szCs w:val="28"/>
        </w:rPr>
        <w:t>Таблиця  2</w:t>
      </w:r>
    </w:p>
    <w:p w:rsidR="00D021E9" w:rsidRDefault="00D021E9" w:rsidP="00FD4D8D">
      <w:pPr>
        <w:ind w:firstLine="540"/>
        <w:jc w:val="right"/>
        <w:rPr>
          <w:rStyle w:val="a4"/>
          <w:color w:val="353535"/>
          <w:sz w:val="28"/>
          <w:szCs w:val="28"/>
        </w:rPr>
      </w:pPr>
      <w:bookmarkStart w:id="0" w:name="_GoBack"/>
      <w:bookmarkEnd w:id="0"/>
    </w:p>
    <w:p w:rsidR="00A31C71" w:rsidRPr="00444BB2" w:rsidRDefault="00A31C71" w:rsidP="00FD4D8D">
      <w:pPr>
        <w:ind w:firstLine="540"/>
        <w:jc w:val="right"/>
        <w:rPr>
          <w:color w:val="353535"/>
          <w:sz w:val="28"/>
          <w:szCs w:val="28"/>
        </w:rPr>
      </w:pPr>
      <w:r w:rsidRPr="00444BB2">
        <w:rPr>
          <w:rStyle w:val="a3"/>
          <w:color w:val="353535"/>
          <w:sz w:val="28"/>
          <w:szCs w:val="28"/>
        </w:rPr>
        <w:t>Граничні норми сумарної ваги вантажу для підлітків у розрахунку на 1 годину робочого часу</w:t>
      </w:r>
    </w:p>
    <w:p w:rsidR="00A31C71" w:rsidRPr="00444BB2" w:rsidRDefault="00A31C71" w:rsidP="000435E5">
      <w:pPr>
        <w:ind w:firstLine="540"/>
        <w:jc w:val="center"/>
        <w:rPr>
          <w:color w:val="353535"/>
          <w:sz w:val="28"/>
          <w:szCs w:val="28"/>
        </w:rPr>
      </w:pPr>
      <w:r w:rsidRPr="00444BB2">
        <w:rPr>
          <w:rStyle w:val="a3"/>
          <w:color w:val="353535"/>
          <w:sz w:val="28"/>
          <w:szCs w:val="28"/>
        </w:rPr>
        <w:t> </w:t>
      </w:r>
    </w:p>
    <w:tbl>
      <w:tblPr>
        <w:tblW w:w="0" w:type="auto"/>
        <w:tblCellMar>
          <w:left w:w="0" w:type="dxa"/>
          <w:right w:w="0" w:type="dxa"/>
        </w:tblCellMar>
        <w:tblLook w:val="0000" w:firstRow="0" w:lastRow="0" w:firstColumn="0" w:lastColumn="0" w:noHBand="0" w:noVBand="0"/>
      </w:tblPr>
      <w:tblGrid>
        <w:gridCol w:w="2339"/>
        <w:gridCol w:w="1802"/>
        <w:gridCol w:w="1838"/>
        <w:gridCol w:w="1802"/>
        <w:gridCol w:w="1838"/>
      </w:tblGrid>
      <w:tr w:rsidR="00A31C71" w:rsidRPr="00444BB2">
        <w:tc>
          <w:tcPr>
            <w:tcW w:w="19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1C71" w:rsidRPr="00444BB2" w:rsidRDefault="00A31C71" w:rsidP="000435E5">
            <w:pPr>
              <w:ind w:firstLine="540"/>
              <w:jc w:val="center"/>
              <w:rPr>
                <w:sz w:val="28"/>
                <w:szCs w:val="28"/>
              </w:rPr>
            </w:pPr>
            <w:r w:rsidRPr="00444BB2">
              <w:rPr>
                <w:sz w:val="28"/>
                <w:szCs w:val="28"/>
              </w:rPr>
              <w:lastRenderedPageBreak/>
              <w:t>Календарний вік, років</w:t>
            </w:r>
          </w:p>
        </w:tc>
        <w:tc>
          <w:tcPr>
            <w:tcW w:w="788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A31C71" w:rsidRPr="00444BB2" w:rsidRDefault="00A31C71" w:rsidP="000435E5">
            <w:pPr>
              <w:ind w:firstLine="540"/>
              <w:jc w:val="center"/>
              <w:rPr>
                <w:sz w:val="28"/>
                <w:szCs w:val="28"/>
              </w:rPr>
            </w:pPr>
            <w:r w:rsidRPr="00444BB2">
              <w:rPr>
                <w:sz w:val="28"/>
                <w:szCs w:val="28"/>
              </w:rPr>
              <w:t>Сумарна вага вантажів (кг), що підіймаються (переміщуються) при виконанні роботи</w:t>
            </w:r>
          </w:p>
        </w:tc>
      </w:tr>
      <w:tr w:rsidR="00A31C71" w:rsidRPr="00444BB2">
        <w:tc>
          <w:tcPr>
            <w:tcW w:w="0" w:type="auto"/>
            <w:vMerge/>
            <w:tcBorders>
              <w:top w:val="single" w:sz="8" w:space="0" w:color="auto"/>
              <w:left w:val="single" w:sz="8" w:space="0" w:color="auto"/>
              <w:bottom w:val="single" w:sz="8" w:space="0" w:color="auto"/>
              <w:right w:val="single" w:sz="8" w:space="0" w:color="auto"/>
            </w:tcBorders>
            <w:vAlign w:val="center"/>
          </w:tcPr>
          <w:p w:rsidR="00A31C71" w:rsidRPr="00444BB2" w:rsidRDefault="00A31C71" w:rsidP="000435E5">
            <w:pPr>
              <w:ind w:firstLine="540"/>
              <w:rPr>
                <w:sz w:val="28"/>
                <w:szCs w:val="28"/>
              </w:rPr>
            </w:pPr>
          </w:p>
        </w:tc>
        <w:tc>
          <w:tcPr>
            <w:tcW w:w="394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1C71" w:rsidRPr="00444BB2" w:rsidRDefault="00A31C71" w:rsidP="000435E5">
            <w:pPr>
              <w:ind w:firstLine="540"/>
              <w:jc w:val="center"/>
              <w:rPr>
                <w:sz w:val="28"/>
                <w:szCs w:val="28"/>
              </w:rPr>
            </w:pPr>
            <w:r w:rsidRPr="00444BB2">
              <w:rPr>
                <w:sz w:val="28"/>
                <w:szCs w:val="28"/>
              </w:rPr>
              <w:t>з рівня робочої поверхні</w:t>
            </w:r>
          </w:p>
        </w:tc>
        <w:tc>
          <w:tcPr>
            <w:tcW w:w="394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1C71" w:rsidRPr="00444BB2" w:rsidRDefault="00A31C71" w:rsidP="000435E5">
            <w:pPr>
              <w:ind w:firstLine="540"/>
              <w:jc w:val="center"/>
              <w:rPr>
                <w:sz w:val="28"/>
                <w:szCs w:val="28"/>
              </w:rPr>
            </w:pPr>
            <w:r w:rsidRPr="00444BB2">
              <w:rPr>
                <w:sz w:val="28"/>
                <w:szCs w:val="28"/>
              </w:rPr>
              <w:t>з підлоги</w:t>
            </w:r>
          </w:p>
        </w:tc>
      </w:tr>
      <w:tr w:rsidR="00A31C71" w:rsidRPr="00444BB2">
        <w:tc>
          <w:tcPr>
            <w:tcW w:w="0" w:type="auto"/>
            <w:vMerge/>
            <w:tcBorders>
              <w:top w:val="single" w:sz="8" w:space="0" w:color="auto"/>
              <w:left w:val="single" w:sz="8" w:space="0" w:color="auto"/>
              <w:bottom w:val="single" w:sz="8" w:space="0" w:color="auto"/>
              <w:right w:val="single" w:sz="8" w:space="0" w:color="auto"/>
            </w:tcBorders>
            <w:vAlign w:val="center"/>
          </w:tcPr>
          <w:p w:rsidR="00A31C71" w:rsidRPr="00444BB2" w:rsidRDefault="00A31C71" w:rsidP="000435E5">
            <w:pPr>
              <w:ind w:firstLine="540"/>
              <w:rPr>
                <w:sz w:val="28"/>
                <w:szCs w:val="28"/>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tcPr>
          <w:p w:rsidR="00A31C71" w:rsidRPr="00444BB2" w:rsidRDefault="00A31C71" w:rsidP="000435E5">
            <w:pPr>
              <w:ind w:firstLine="540"/>
              <w:jc w:val="center"/>
              <w:rPr>
                <w:sz w:val="28"/>
                <w:szCs w:val="28"/>
              </w:rPr>
            </w:pPr>
            <w:r w:rsidRPr="00444BB2">
              <w:rPr>
                <w:sz w:val="28"/>
                <w:szCs w:val="28"/>
              </w:rPr>
              <w:t>юнаки</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tcPr>
          <w:p w:rsidR="00A31C71" w:rsidRPr="00444BB2" w:rsidRDefault="00A31C71" w:rsidP="000435E5">
            <w:pPr>
              <w:ind w:firstLine="540"/>
              <w:jc w:val="center"/>
              <w:rPr>
                <w:sz w:val="28"/>
                <w:szCs w:val="28"/>
              </w:rPr>
            </w:pPr>
            <w:r w:rsidRPr="00444BB2">
              <w:rPr>
                <w:sz w:val="28"/>
                <w:szCs w:val="28"/>
              </w:rPr>
              <w:t>дівчата</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tcPr>
          <w:p w:rsidR="00A31C71" w:rsidRPr="00444BB2" w:rsidRDefault="00A31C71" w:rsidP="000435E5">
            <w:pPr>
              <w:ind w:firstLine="540"/>
              <w:jc w:val="center"/>
              <w:rPr>
                <w:sz w:val="28"/>
                <w:szCs w:val="28"/>
              </w:rPr>
            </w:pPr>
            <w:r w:rsidRPr="00444BB2">
              <w:rPr>
                <w:sz w:val="28"/>
                <w:szCs w:val="28"/>
              </w:rPr>
              <w:t>юнаки</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tcPr>
          <w:p w:rsidR="00A31C71" w:rsidRPr="00444BB2" w:rsidRDefault="00A31C71" w:rsidP="000435E5">
            <w:pPr>
              <w:ind w:firstLine="540"/>
              <w:jc w:val="center"/>
              <w:rPr>
                <w:sz w:val="28"/>
                <w:szCs w:val="28"/>
              </w:rPr>
            </w:pPr>
            <w:r w:rsidRPr="00444BB2">
              <w:rPr>
                <w:sz w:val="28"/>
                <w:szCs w:val="28"/>
              </w:rPr>
              <w:t>дівчата</w:t>
            </w:r>
          </w:p>
        </w:tc>
      </w:tr>
      <w:tr w:rsidR="00A31C71" w:rsidRPr="00444BB2">
        <w:tc>
          <w:tcPr>
            <w:tcW w:w="19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1C71" w:rsidRPr="00444BB2" w:rsidRDefault="00A31C71" w:rsidP="000435E5">
            <w:pPr>
              <w:ind w:firstLine="540"/>
              <w:rPr>
                <w:sz w:val="28"/>
                <w:szCs w:val="28"/>
              </w:rPr>
            </w:pPr>
            <w:r w:rsidRPr="00444BB2">
              <w:rPr>
                <w:sz w:val="28"/>
                <w:szCs w:val="28"/>
              </w:rPr>
              <w:t>14</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444BB2" w:rsidRDefault="00A31C71" w:rsidP="000435E5">
            <w:pPr>
              <w:ind w:firstLine="540"/>
              <w:rPr>
                <w:sz w:val="28"/>
                <w:szCs w:val="28"/>
              </w:rPr>
            </w:pPr>
            <w:r w:rsidRPr="00444BB2">
              <w:rPr>
                <w:sz w:val="28"/>
                <w:szCs w:val="28"/>
              </w:rPr>
              <w:t>10</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444BB2" w:rsidRDefault="00A31C71" w:rsidP="000435E5">
            <w:pPr>
              <w:ind w:firstLine="540"/>
              <w:rPr>
                <w:sz w:val="28"/>
                <w:szCs w:val="28"/>
              </w:rPr>
            </w:pPr>
            <w:r w:rsidRPr="00444BB2">
              <w:rPr>
                <w:sz w:val="28"/>
                <w:szCs w:val="28"/>
              </w:rPr>
              <w:t>5</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444BB2" w:rsidRDefault="00A31C71" w:rsidP="000435E5">
            <w:pPr>
              <w:ind w:firstLine="540"/>
              <w:rPr>
                <w:sz w:val="28"/>
                <w:szCs w:val="28"/>
              </w:rPr>
            </w:pPr>
            <w:r w:rsidRPr="00444BB2">
              <w:rPr>
                <w:sz w:val="28"/>
                <w:szCs w:val="28"/>
              </w:rPr>
              <w:t>7</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444BB2" w:rsidRDefault="00A31C71" w:rsidP="000435E5">
            <w:pPr>
              <w:ind w:firstLine="540"/>
              <w:rPr>
                <w:sz w:val="28"/>
                <w:szCs w:val="28"/>
              </w:rPr>
            </w:pPr>
            <w:r w:rsidRPr="00444BB2">
              <w:rPr>
                <w:sz w:val="28"/>
                <w:szCs w:val="28"/>
              </w:rPr>
              <w:t>3,5</w:t>
            </w:r>
          </w:p>
        </w:tc>
      </w:tr>
      <w:tr w:rsidR="00A31C71" w:rsidRPr="00444BB2">
        <w:tc>
          <w:tcPr>
            <w:tcW w:w="19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1C71" w:rsidRPr="00444BB2" w:rsidRDefault="00A31C71" w:rsidP="000435E5">
            <w:pPr>
              <w:ind w:firstLine="540"/>
              <w:rPr>
                <w:sz w:val="28"/>
                <w:szCs w:val="28"/>
              </w:rPr>
            </w:pPr>
            <w:r w:rsidRPr="00444BB2">
              <w:rPr>
                <w:sz w:val="28"/>
                <w:szCs w:val="28"/>
              </w:rPr>
              <w:t>15</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444BB2" w:rsidRDefault="00A31C71" w:rsidP="000435E5">
            <w:pPr>
              <w:ind w:firstLine="540"/>
              <w:rPr>
                <w:sz w:val="28"/>
                <w:szCs w:val="28"/>
              </w:rPr>
            </w:pPr>
            <w:r w:rsidRPr="00444BB2">
              <w:rPr>
                <w:sz w:val="28"/>
                <w:szCs w:val="28"/>
              </w:rPr>
              <w:t>48</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444BB2" w:rsidRDefault="00A31C71" w:rsidP="000435E5">
            <w:pPr>
              <w:ind w:firstLine="540"/>
              <w:rPr>
                <w:sz w:val="28"/>
                <w:szCs w:val="28"/>
              </w:rPr>
            </w:pPr>
            <w:r w:rsidRPr="00444BB2">
              <w:rPr>
                <w:sz w:val="28"/>
                <w:szCs w:val="28"/>
              </w:rPr>
              <w:t>12</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444BB2" w:rsidRDefault="00A31C71" w:rsidP="000435E5">
            <w:pPr>
              <w:ind w:firstLine="540"/>
              <w:rPr>
                <w:sz w:val="28"/>
                <w:szCs w:val="28"/>
              </w:rPr>
            </w:pPr>
            <w:r w:rsidRPr="00444BB2">
              <w:rPr>
                <w:sz w:val="28"/>
                <w:szCs w:val="28"/>
              </w:rPr>
              <w:t>24</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444BB2" w:rsidRDefault="00A31C71" w:rsidP="000435E5">
            <w:pPr>
              <w:ind w:firstLine="540"/>
              <w:rPr>
                <w:sz w:val="28"/>
                <w:szCs w:val="28"/>
              </w:rPr>
            </w:pPr>
            <w:r w:rsidRPr="00444BB2">
              <w:rPr>
                <w:sz w:val="28"/>
                <w:szCs w:val="28"/>
              </w:rPr>
              <w:t>6</w:t>
            </w:r>
          </w:p>
        </w:tc>
      </w:tr>
      <w:tr w:rsidR="00A31C71" w:rsidRPr="00444BB2">
        <w:tc>
          <w:tcPr>
            <w:tcW w:w="19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1C71" w:rsidRPr="00444BB2" w:rsidRDefault="00A31C71" w:rsidP="000435E5">
            <w:pPr>
              <w:ind w:firstLine="540"/>
              <w:rPr>
                <w:sz w:val="28"/>
                <w:szCs w:val="28"/>
              </w:rPr>
            </w:pPr>
            <w:r w:rsidRPr="00444BB2">
              <w:rPr>
                <w:sz w:val="28"/>
                <w:szCs w:val="28"/>
              </w:rPr>
              <w:t>16</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444BB2" w:rsidRDefault="00A31C71" w:rsidP="000435E5">
            <w:pPr>
              <w:ind w:firstLine="540"/>
              <w:rPr>
                <w:sz w:val="28"/>
                <w:szCs w:val="28"/>
              </w:rPr>
            </w:pPr>
            <w:r w:rsidRPr="00444BB2">
              <w:rPr>
                <w:sz w:val="28"/>
                <w:szCs w:val="28"/>
              </w:rPr>
              <w:t>160</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444BB2" w:rsidRDefault="00A31C71" w:rsidP="000435E5">
            <w:pPr>
              <w:ind w:firstLine="540"/>
              <w:rPr>
                <w:sz w:val="28"/>
                <w:szCs w:val="28"/>
              </w:rPr>
            </w:pPr>
            <w:r w:rsidRPr="00444BB2">
              <w:rPr>
                <w:sz w:val="28"/>
                <w:szCs w:val="28"/>
              </w:rPr>
              <w:t>40</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444BB2" w:rsidRDefault="00A31C71" w:rsidP="000435E5">
            <w:pPr>
              <w:ind w:firstLine="540"/>
              <w:rPr>
                <w:sz w:val="28"/>
                <w:szCs w:val="28"/>
              </w:rPr>
            </w:pPr>
            <w:r w:rsidRPr="00444BB2">
              <w:rPr>
                <w:sz w:val="28"/>
                <w:szCs w:val="28"/>
              </w:rPr>
              <w:t>80</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444BB2" w:rsidRDefault="00A31C71" w:rsidP="000435E5">
            <w:pPr>
              <w:ind w:firstLine="540"/>
              <w:rPr>
                <w:sz w:val="28"/>
                <w:szCs w:val="28"/>
              </w:rPr>
            </w:pPr>
            <w:r w:rsidRPr="00444BB2">
              <w:rPr>
                <w:sz w:val="28"/>
                <w:szCs w:val="28"/>
              </w:rPr>
              <w:t>20</w:t>
            </w:r>
          </w:p>
        </w:tc>
      </w:tr>
      <w:tr w:rsidR="00A31C71" w:rsidRPr="00444BB2">
        <w:tc>
          <w:tcPr>
            <w:tcW w:w="19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1C71" w:rsidRPr="00444BB2" w:rsidRDefault="00A31C71" w:rsidP="000435E5">
            <w:pPr>
              <w:ind w:firstLine="540"/>
              <w:rPr>
                <w:sz w:val="28"/>
                <w:szCs w:val="28"/>
              </w:rPr>
            </w:pPr>
            <w:r w:rsidRPr="00444BB2">
              <w:rPr>
                <w:sz w:val="28"/>
                <w:szCs w:val="28"/>
              </w:rPr>
              <w:t>17</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444BB2" w:rsidRDefault="00A31C71" w:rsidP="000435E5">
            <w:pPr>
              <w:ind w:firstLine="540"/>
              <w:rPr>
                <w:sz w:val="28"/>
                <w:szCs w:val="28"/>
              </w:rPr>
            </w:pPr>
            <w:r w:rsidRPr="00444BB2">
              <w:rPr>
                <w:sz w:val="28"/>
                <w:szCs w:val="28"/>
              </w:rPr>
              <w:t>272</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444BB2" w:rsidRDefault="00A31C71" w:rsidP="000435E5">
            <w:pPr>
              <w:ind w:firstLine="540"/>
              <w:rPr>
                <w:sz w:val="28"/>
                <w:szCs w:val="28"/>
              </w:rPr>
            </w:pPr>
            <w:r w:rsidRPr="00444BB2">
              <w:rPr>
                <w:sz w:val="28"/>
                <w:szCs w:val="28"/>
              </w:rPr>
              <w:t>72</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444BB2" w:rsidRDefault="00A31C71" w:rsidP="000435E5">
            <w:pPr>
              <w:ind w:firstLine="540"/>
              <w:rPr>
                <w:sz w:val="28"/>
                <w:szCs w:val="28"/>
              </w:rPr>
            </w:pPr>
            <w:r w:rsidRPr="00444BB2">
              <w:rPr>
                <w:sz w:val="28"/>
                <w:szCs w:val="28"/>
              </w:rPr>
              <w:t>130</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A31C71" w:rsidRPr="00444BB2" w:rsidRDefault="00A31C71" w:rsidP="000435E5">
            <w:pPr>
              <w:ind w:firstLine="540"/>
              <w:rPr>
                <w:sz w:val="28"/>
                <w:szCs w:val="28"/>
              </w:rPr>
            </w:pPr>
            <w:r w:rsidRPr="00444BB2">
              <w:rPr>
                <w:sz w:val="28"/>
                <w:szCs w:val="28"/>
              </w:rPr>
              <w:t>32</w:t>
            </w:r>
          </w:p>
        </w:tc>
      </w:tr>
    </w:tbl>
    <w:p w:rsidR="00A31C71" w:rsidRPr="00444BB2" w:rsidRDefault="00A31C71" w:rsidP="000435E5">
      <w:pPr>
        <w:ind w:firstLine="540"/>
        <w:jc w:val="center"/>
        <w:rPr>
          <w:color w:val="353535"/>
          <w:sz w:val="28"/>
          <w:szCs w:val="28"/>
        </w:rPr>
      </w:pPr>
      <w:r w:rsidRPr="00444BB2">
        <w:rPr>
          <w:rStyle w:val="a3"/>
          <w:color w:val="353535"/>
          <w:sz w:val="28"/>
          <w:szCs w:val="28"/>
        </w:rPr>
        <w:t> </w:t>
      </w:r>
    </w:p>
    <w:p w:rsidR="00A31C71" w:rsidRPr="00910DB4" w:rsidRDefault="00A31C71" w:rsidP="000435E5">
      <w:pPr>
        <w:ind w:firstLine="540"/>
        <w:jc w:val="both"/>
        <w:rPr>
          <w:color w:val="000000"/>
          <w:sz w:val="28"/>
          <w:szCs w:val="28"/>
        </w:rPr>
      </w:pPr>
      <w:r w:rsidRPr="00910DB4">
        <w:rPr>
          <w:color w:val="000000"/>
          <w:sz w:val="28"/>
          <w:szCs w:val="28"/>
        </w:rPr>
        <w:t xml:space="preserve">Сумарна вага вантажу повинна дорівнювати добутку ваги вантажу на кількість його підйомів (переміщень). Рівнем робочої поверхні вважається робочий рівень стола, верстата, конвеєра тощо. Висота підіймання не повинна перевищувати </w:t>
      </w:r>
      <w:smartTag w:uri="urn:schemas-microsoft-com:office:smarttags" w:element="metricconverter">
        <w:smartTagPr>
          <w:attr w:name="ProductID" w:val="1 м"/>
        </w:smartTagPr>
        <w:r w:rsidRPr="00910DB4">
          <w:rPr>
            <w:color w:val="000000"/>
            <w:sz w:val="28"/>
            <w:szCs w:val="28"/>
          </w:rPr>
          <w:t>1 м</w:t>
        </w:r>
      </w:smartTag>
      <w:r w:rsidRPr="00910DB4">
        <w:rPr>
          <w:color w:val="000000"/>
          <w:sz w:val="28"/>
          <w:szCs w:val="28"/>
        </w:rPr>
        <w:t xml:space="preserve">. Відстань переміщення вантажу вручну не повинна перевищувати </w:t>
      </w:r>
      <w:smartTag w:uri="urn:schemas-microsoft-com:office:smarttags" w:element="metricconverter">
        <w:smartTagPr>
          <w:attr w:name="ProductID" w:val="5 м"/>
        </w:smartTagPr>
        <w:r w:rsidRPr="00910DB4">
          <w:rPr>
            <w:color w:val="000000"/>
            <w:sz w:val="28"/>
            <w:szCs w:val="28"/>
          </w:rPr>
          <w:t>5 м</w:t>
        </w:r>
      </w:smartTag>
      <w:r w:rsidRPr="00910DB4">
        <w:rPr>
          <w:color w:val="000000"/>
          <w:sz w:val="28"/>
          <w:szCs w:val="28"/>
        </w:rPr>
        <w:t>.</w:t>
      </w:r>
    </w:p>
    <w:p w:rsidR="00A31C71" w:rsidRDefault="00FD4D8D" w:rsidP="000435E5">
      <w:pPr>
        <w:pStyle w:val="tj"/>
        <w:spacing w:before="0" w:beforeAutospacing="0" w:after="0" w:afterAutospacing="0"/>
        <w:ind w:firstLine="540"/>
        <w:jc w:val="both"/>
        <w:rPr>
          <w:color w:val="353535"/>
          <w:sz w:val="28"/>
          <w:szCs w:val="28"/>
        </w:rPr>
      </w:pPr>
      <w:r>
        <w:rPr>
          <w:color w:val="000000"/>
          <w:sz w:val="28"/>
          <w:szCs w:val="28"/>
        </w:rPr>
        <w:t xml:space="preserve"> К</w:t>
      </w:r>
      <w:r w:rsidR="00A31C71" w:rsidRPr="00910DB4">
        <w:rPr>
          <w:color w:val="000000"/>
          <w:sz w:val="28"/>
          <w:szCs w:val="28"/>
        </w:rPr>
        <w:t>ожен роботодавець зобов’язаний створити в кожному структурному підрозділі й на робочому місці умови праці відповідно до вимог нормативних актів, а також забезпечити дотримання прав неповнолітніх працівників, гарантованих чинним законодавством</w:t>
      </w:r>
      <w:r w:rsidR="00A31C71" w:rsidRPr="00444BB2">
        <w:rPr>
          <w:color w:val="353535"/>
          <w:sz w:val="28"/>
          <w:szCs w:val="28"/>
        </w:rPr>
        <w:t>.</w:t>
      </w:r>
    </w:p>
    <w:p w:rsidR="00910DB4" w:rsidRDefault="00910DB4" w:rsidP="000435E5">
      <w:pPr>
        <w:pStyle w:val="tj"/>
        <w:spacing w:before="0" w:beforeAutospacing="0" w:after="0" w:afterAutospacing="0"/>
        <w:ind w:firstLine="540"/>
        <w:jc w:val="both"/>
        <w:rPr>
          <w:color w:val="353535"/>
          <w:sz w:val="28"/>
          <w:szCs w:val="28"/>
        </w:rPr>
      </w:pPr>
    </w:p>
    <w:p w:rsidR="000D6010" w:rsidRDefault="00FD4D8D" w:rsidP="000435E5">
      <w:pPr>
        <w:ind w:firstLine="540"/>
        <w:rPr>
          <w:color w:val="000000"/>
          <w:sz w:val="28"/>
          <w:szCs w:val="28"/>
        </w:rPr>
      </w:pPr>
      <w:r>
        <w:rPr>
          <w:color w:val="000000"/>
          <w:sz w:val="28"/>
          <w:szCs w:val="28"/>
        </w:rPr>
        <w:t>Головний державний інспектор</w:t>
      </w:r>
    </w:p>
    <w:p w:rsidR="00FD4D8D" w:rsidRDefault="00FD4D8D" w:rsidP="000435E5">
      <w:pPr>
        <w:ind w:firstLine="540"/>
        <w:rPr>
          <w:color w:val="000000"/>
          <w:sz w:val="28"/>
          <w:szCs w:val="28"/>
        </w:rPr>
      </w:pPr>
      <w:r>
        <w:rPr>
          <w:color w:val="000000"/>
          <w:sz w:val="28"/>
          <w:szCs w:val="28"/>
        </w:rPr>
        <w:t xml:space="preserve">Управління </w:t>
      </w:r>
      <w:proofErr w:type="spellStart"/>
      <w:r>
        <w:rPr>
          <w:color w:val="000000"/>
          <w:sz w:val="28"/>
          <w:szCs w:val="28"/>
        </w:rPr>
        <w:t>Держпраці</w:t>
      </w:r>
      <w:proofErr w:type="spellEnd"/>
      <w:r>
        <w:rPr>
          <w:color w:val="000000"/>
          <w:sz w:val="28"/>
          <w:szCs w:val="28"/>
        </w:rPr>
        <w:t xml:space="preserve"> у Полтавській</w:t>
      </w:r>
    </w:p>
    <w:p w:rsidR="00FD4D8D" w:rsidRPr="00FD4D8D" w:rsidRDefault="00FD4D8D" w:rsidP="000435E5">
      <w:pPr>
        <w:ind w:firstLine="540"/>
        <w:rPr>
          <w:color w:val="000000"/>
          <w:sz w:val="28"/>
          <w:szCs w:val="28"/>
        </w:rPr>
      </w:pPr>
      <w:r>
        <w:rPr>
          <w:color w:val="000000"/>
          <w:sz w:val="28"/>
          <w:szCs w:val="28"/>
        </w:rPr>
        <w:t xml:space="preserve">області                                                                           </w:t>
      </w:r>
      <w:proofErr w:type="spellStart"/>
      <w:r>
        <w:rPr>
          <w:color w:val="000000"/>
          <w:sz w:val="28"/>
          <w:szCs w:val="28"/>
        </w:rPr>
        <w:t>Л.Д.Тіхонова</w:t>
      </w:r>
      <w:proofErr w:type="spellEnd"/>
    </w:p>
    <w:sectPr w:rsidR="00FD4D8D" w:rsidRPr="00FD4D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71"/>
    <w:rsid w:val="00027956"/>
    <w:rsid w:val="000435E5"/>
    <w:rsid w:val="000702C9"/>
    <w:rsid w:val="000D6010"/>
    <w:rsid w:val="00115107"/>
    <w:rsid w:val="001736D5"/>
    <w:rsid w:val="001A3CCD"/>
    <w:rsid w:val="001E2593"/>
    <w:rsid w:val="003D173C"/>
    <w:rsid w:val="00444BB2"/>
    <w:rsid w:val="004D4B0A"/>
    <w:rsid w:val="00611075"/>
    <w:rsid w:val="006462BF"/>
    <w:rsid w:val="00672CAF"/>
    <w:rsid w:val="007171D4"/>
    <w:rsid w:val="00722982"/>
    <w:rsid w:val="0074650F"/>
    <w:rsid w:val="00786CCA"/>
    <w:rsid w:val="00910DB4"/>
    <w:rsid w:val="00A04F14"/>
    <w:rsid w:val="00A31C71"/>
    <w:rsid w:val="00A632BE"/>
    <w:rsid w:val="00AB72D6"/>
    <w:rsid w:val="00B945CC"/>
    <w:rsid w:val="00D021E9"/>
    <w:rsid w:val="00DB5F27"/>
    <w:rsid w:val="00DE7D85"/>
    <w:rsid w:val="00E170DD"/>
    <w:rsid w:val="00E56902"/>
    <w:rsid w:val="00ED04D9"/>
    <w:rsid w:val="00FC7335"/>
    <w:rsid w:val="00FD4D8D"/>
    <w:rsid w:val="00FE3FEA"/>
    <w:rsid w:val="00FF0B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411AA09-E403-4EC8-804F-0CF1E258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A31C7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31C71"/>
    <w:rPr>
      <w:b/>
      <w:bCs/>
    </w:rPr>
  </w:style>
  <w:style w:type="character" w:styleId="a4">
    <w:name w:val="Emphasis"/>
    <w:qFormat/>
    <w:rsid w:val="00A31C71"/>
    <w:rPr>
      <w:i/>
      <w:iCs/>
    </w:rPr>
  </w:style>
  <w:style w:type="character" w:customStyle="1" w:styleId="apple-converted-space">
    <w:name w:val="apple-converted-space"/>
    <w:basedOn w:val="a0"/>
    <w:rsid w:val="00A31C71"/>
  </w:style>
  <w:style w:type="paragraph" w:customStyle="1" w:styleId="substtext">
    <w:name w:val="substtext"/>
    <w:basedOn w:val="a"/>
    <w:rsid w:val="00A31C71"/>
    <w:pPr>
      <w:spacing w:before="100" w:beforeAutospacing="1" w:after="100" w:afterAutospacing="1"/>
    </w:pPr>
  </w:style>
  <w:style w:type="paragraph" w:customStyle="1" w:styleId="tj">
    <w:name w:val="tj"/>
    <w:basedOn w:val="a"/>
    <w:rsid w:val="00A31C71"/>
    <w:pPr>
      <w:spacing w:before="100" w:beforeAutospacing="1" w:after="100" w:afterAutospacing="1"/>
    </w:pPr>
  </w:style>
  <w:style w:type="paragraph" w:styleId="a5">
    <w:name w:val="Normal (Web)"/>
    <w:basedOn w:val="a"/>
    <w:rsid w:val="00A31C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653831">
      <w:bodyDiv w:val="1"/>
      <w:marLeft w:val="0"/>
      <w:marRight w:val="0"/>
      <w:marTop w:val="0"/>
      <w:marBottom w:val="0"/>
      <w:divBdr>
        <w:top w:val="none" w:sz="0" w:space="0" w:color="auto"/>
        <w:left w:val="none" w:sz="0" w:space="0" w:color="auto"/>
        <w:bottom w:val="none" w:sz="0" w:space="0" w:color="auto"/>
        <w:right w:val="none" w:sz="0" w:space="0" w:color="auto"/>
      </w:divBdr>
      <w:divsChild>
        <w:div w:id="590314169">
          <w:marLeft w:val="0"/>
          <w:marRight w:val="0"/>
          <w:marTop w:val="210"/>
          <w:marBottom w:val="0"/>
          <w:divBdr>
            <w:top w:val="none" w:sz="0" w:space="0" w:color="auto"/>
            <w:left w:val="none" w:sz="0" w:space="0" w:color="auto"/>
            <w:bottom w:val="none" w:sz="0" w:space="0" w:color="auto"/>
            <w:right w:val="none" w:sz="0" w:space="0" w:color="auto"/>
          </w:divBdr>
        </w:div>
        <w:div w:id="1631281880">
          <w:marLeft w:val="60"/>
          <w:marRight w:val="0"/>
          <w:marTop w:val="10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836</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CSSM</dc:creator>
  <cp:keywords/>
  <cp:lastModifiedBy>admin</cp:lastModifiedBy>
  <cp:revision>5</cp:revision>
  <dcterms:created xsi:type="dcterms:W3CDTF">2019-08-13T07:34:00Z</dcterms:created>
  <dcterms:modified xsi:type="dcterms:W3CDTF">2019-08-13T07:54:00Z</dcterms:modified>
</cp:coreProperties>
</file>